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8" w:line="185" w:lineRule="auto"/>
        <w:jc w:val="center"/>
        <w:rPr>
          <w:rFonts w:ascii="微软雅黑" w:hAnsi="微软雅黑" w:eastAsia="微软雅黑" w:cs="微软雅黑"/>
          <w:sz w:val="95"/>
          <w:szCs w:val="95"/>
        </w:rPr>
      </w:pPr>
      <w:r>
        <w:rPr>
          <w:rFonts w:ascii="微软雅黑" w:hAnsi="微软雅黑" w:eastAsia="微软雅黑" w:cs="微软雅黑"/>
          <w:color w:val="FF0000"/>
          <w:spacing w:val="-73"/>
          <w:w w:val="77"/>
          <w:sz w:val="95"/>
          <w:szCs w:val="95"/>
        </w:rPr>
        <w:t>长安大学信息工程学院文件</w:t>
      </w:r>
    </w:p>
    <w:p>
      <w:pPr>
        <w:spacing w:line="284" w:lineRule="auto"/>
      </w:pPr>
    </w:p>
    <w:p>
      <w:pPr>
        <w:spacing w:line="284" w:lineRule="auto"/>
      </w:pPr>
    </w:p>
    <w:p>
      <w:pPr>
        <w:spacing w:line="284" w:lineRule="auto"/>
      </w:pPr>
    </w:p>
    <w:p>
      <w:pPr>
        <w:spacing w:line="285" w:lineRule="auto"/>
      </w:pPr>
    </w:p>
    <w:p>
      <w:pPr>
        <w:spacing w:before="101" w:line="227" w:lineRule="auto"/>
        <w:ind w:left="2588"/>
        <w:rPr>
          <w:rFonts w:ascii="仿宋" w:hAnsi="仿宋" w:eastAsia="仿宋" w:cs="仿宋"/>
          <w:sz w:val="31"/>
          <w:szCs w:val="31"/>
        </w:rPr>
      </w:pPr>
      <w:r>
        <w:rPr>
          <w:rFonts w:ascii="仿宋" w:hAnsi="仿宋" w:eastAsia="仿宋" w:cs="仿宋"/>
          <w:spacing w:val="13"/>
          <w:sz w:val="31"/>
          <w:szCs w:val="31"/>
        </w:rPr>
        <w:t>长</w:t>
      </w:r>
      <w:r>
        <w:rPr>
          <w:rFonts w:ascii="仿宋" w:hAnsi="仿宋" w:eastAsia="仿宋" w:cs="仿宋"/>
          <w:spacing w:val="7"/>
          <w:sz w:val="31"/>
          <w:szCs w:val="31"/>
        </w:rPr>
        <w:t>大信息〔202</w:t>
      </w:r>
      <w:r>
        <w:rPr>
          <w:rFonts w:hint="eastAsia" w:ascii="仿宋" w:hAnsi="仿宋" w:eastAsia="仿宋" w:cs="仿宋"/>
          <w:spacing w:val="7"/>
          <w:sz w:val="31"/>
          <w:szCs w:val="31"/>
        </w:rPr>
        <w:t>4</w:t>
      </w:r>
      <w:r>
        <w:rPr>
          <w:rFonts w:ascii="仿宋" w:hAnsi="仿宋" w:eastAsia="仿宋" w:cs="仿宋"/>
          <w:spacing w:val="7"/>
          <w:sz w:val="31"/>
          <w:szCs w:val="31"/>
        </w:rPr>
        <w:t>〕</w:t>
      </w:r>
      <w:r>
        <w:rPr>
          <w:rFonts w:hint="eastAsia" w:ascii="仿宋" w:hAnsi="仿宋" w:eastAsia="仿宋" w:cs="仿宋"/>
          <w:spacing w:val="7"/>
          <w:sz w:val="31"/>
          <w:szCs w:val="31"/>
        </w:rPr>
        <w:t>1</w:t>
      </w:r>
      <w:r>
        <w:rPr>
          <w:rFonts w:ascii="仿宋" w:hAnsi="仿宋" w:eastAsia="仿宋" w:cs="仿宋"/>
          <w:spacing w:val="7"/>
          <w:sz w:val="31"/>
          <w:szCs w:val="31"/>
        </w:rPr>
        <w:t xml:space="preserve"> 号</w:t>
      </w:r>
    </w:p>
    <w:p>
      <w:pPr>
        <w:spacing w:before="134" w:line="30" w:lineRule="exact"/>
        <w:ind w:firstLine="14"/>
        <w:textAlignment w:val="center"/>
      </w:pPr>
      <w:r>
        <w:drawing>
          <wp:inline distT="0" distB="0" distL="0" distR="0">
            <wp:extent cx="5759450" cy="19050"/>
            <wp:effectExtent l="0" t="0" r="1270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
                    <a:stretch>
                      <a:fillRect/>
                    </a:stretch>
                  </pic:blipFill>
                  <pic:spPr>
                    <a:xfrm>
                      <a:off x="0" y="0"/>
                      <a:ext cx="5760084" cy="19050"/>
                    </a:xfrm>
                    <a:prstGeom prst="rect">
                      <a:avLst/>
                    </a:prstGeom>
                  </pic:spPr>
                </pic:pic>
              </a:graphicData>
            </a:graphic>
          </wp:inline>
        </w:drawing>
      </w:r>
    </w:p>
    <w:p>
      <w:pPr>
        <w:spacing w:line="472" w:lineRule="auto"/>
      </w:pPr>
    </w:p>
    <w:p>
      <w:pPr>
        <w:pStyle w:val="2"/>
        <w:spacing w:before="0" w:after="120" w:afterLines="50" w:line="360" w:lineRule="auto"/>
        <w:jc w:val="center"/>
        <w:rPr>
          <w:rFonts w:hint="eastAsia" w:ascii="方正小标宋简体" w:hAnsi="宋体" w:eastAsia="方正小标宋简体" w:cs="宋体"/>
          <w:sz w:val="44"/>
        </w:rPr>
      </w:pPr>
      <w:r>
        <w:rPr>
          <w:rFonts w:hint="eastAsia" w:ascii="方正小标宋简体" w:hAnsi="宋体" w:eastAsia="方正小标宋简体" w:cs="宋体"/>
          <w:spacing w:val="12"/>
          <w:sz w:val="44"/>
        </w:rPr>
        <w:t>关</w:t>
      </w:r>
      <w:r>
        <w:rPr>
          <w:rFonts w:hint="eastAsia" w:ascii="方正小标宋简体" w:hAnsi="宋体" w:eastAsia="方正小标宋简体" w:cs="宋体"/>
          <w:spacing w:val="9"/>
          <w:sz w:val="44"/>
        </w:rPr>
        <w:t>于印发《</w:t>
      </w:r>
      <w:r>
        <w:rPr>
          <w:rFonts w:hint="eastAsia" w:ascii="方正小标宋简体" w:hAnsi="宋体" w:eastAsia="方正小标宋简体" w:cs="宋体"/>
          <w:spacing w:val="7"/>
          <w:kern w:val="0"/>
          <w:sz w:val="44"/>
        </w:rPr>
        <w:t>信息工程学院2024年本科生转专业及专业分流实施细则</w:t>
      </w:r>
      <w:r>
        <w:rPr>
          <w:rFonts w:hint="eastAsia" w:ascii="方正小标宋简体" w:hAnsi="宋体" w:eastAsia="方正小标宋简体" w:cs="宋体"/>
          <w:spacing w:val="9"/>
          <w:sz w:val="44"/>
        </w:rPr>
        <w:t>》的通知</w:t>
      </w:r>
    </w:p>
    <w:p>
      <w:pPr>
        <w:pStyle w:val="6"/>
        <w:ind w:firstLine="420"/>
      </w:pPr>
    </w:p>
    <w:p>
      <w:pPr>
        <w:spacing w:line="360" w:lineRule="auto"/>
        <w:ind w:firstLine="640" w:firstLineChars="200"/>
        <w:jc w:val="both"/>
        <w:rPr>
          <w:rFonts w:ascii="仿宋" w:hAnsi="仿宋" w:eastAsia="仿宋" w:cs="宋体"/>
          <w:sz w:val="32"/>
          <w:szCs w:val="32"/>
        </w:rPr>
      </w:pPr>
      <w:r>
        <w:rPr>
          <w:rFonts w:ascii="仿宋" w:hAnsi="仿宋" w:eastAsia="仿宋" w:cs="宋体"/>
          <w:sz w:val="32"/>
          <w:szCs w:val="32"/>
        </w:rPr>
        <w:t>院属各单位：</w:t>
      </w:r>
    </w:p>
    <w:p>
      <w:pPr>
        <w:spacing w:line="360" w:lineRule="auto"/>
        <w:ind w:firstLine="640" w:firstLineChars="200"/>
        <w:jc w:val="both"/>
        <w:rPr>
          <w:rFonts w:ascii="仿宋" w:hAnsi="仿宋" w:eastAsia="仿宋" w:cs="宋体"/>
          <w:sz w:val="32"/>
          <w:szCs w:val="32"/>
        </w:rPr>
      </w:pPr>
      <w:r>
        <w:rPr>
          <w:rFonts w:hint="eastAsia" w:ascii="仿宋" w:hAnsi="仿宋" w:eastAsia="仿宋" w:cs="宋体"/>
          <w:sz w:val="32"/>
          <w:szCs w:val="32"/>
        </w:rPr>
        <w:t>《信息工程学院</w:t>
      </w:r>
      <w:r>
        <w:rPr>
          <w:rFonts w:ascii="仿宋" w:hAnsi="仿宋" w:eastAsia="仿宋" w:cs="宋体"/>
          <w:sz w:val="32"/>
          <w:szCs w:val="32"/>
        </w:rPr>
        <w:t>2024</w:t>
      </w:r>
      <w:r>
        <w:rPr>
          <w:rFonts w:hint="eastAsia" w:ascii="仿宋" w:hAnsi="仿宋" w:eastAsia="仿宋" w:cs="宋体"/>
          <w:sz w:val="32"/>
          <w:szCs w:val="32"/>
        </w:rPr>
        <w:t>年本科生转专业及专业分流实施细则》经</w:t>
      </w:r>
      <w:r>
        <w:rPr>
          <w:rFonts w:ascii="仿宋" w:hAnsi="仿宋" w:eastAsia="仿宋" w:cs="宋体"/>
          <w:sz w:val="32"/>
          <w:szCs w:val="32"/>
        </w:rPr>
        <w:t>2024</w:t>
      </w:r>
      <w:r>
        <w:rPr>
          <w:rFonts w:hint="eastAsia" w:ascii="仿宋" w:hAnsi="仿宋" w:eastAsia="仿宋" w:cs="宋体"/>
          <w:sz w:val="32"/>
          <w:szCs w:val="32"/>
        </w:rPr>
        <w:t>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15</w:t>
      </w:r>
      <w:r>
        <w:rPr>
          <w:rFonts w:hint="eastAsia" w:ascii="仿宋" w:hAnsi="仿宋" w:eastAsia="仿宋" w:cs="宋体"/>
          <w:sz w:val="32"/>
          <w:szCs w:val="32"/>
        </w:rPr>
        <w:t>日学院党政联席会议审议通过，现予印发，请遵照执行。</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hint="eastAsia" w:asciiTheme="minorEastAsia" w:hAnsiTheme="minorEastAsia" w:eastAsiaTheme="minorEastAsia"/>
        </w:rPr>
      </w:pPr>
    </w:p>
    <w:p>
      <w:pPr>
        <w:spacing w:line="360" w:lineRule="auto"/>
        <w:rPr>
          <w:rFonts w:hint="eastAsia" w:asciiTheme="minorEastAsia" w:hAnsiTheme="minorEastAsia" w:eastAsiaTheme="minorEastAsia"/>
        </w:rPr>
      </w:pPr>
    </w:p>
    <w:p>
      <w:pPr>
        <w:wordWrap w:val="0"/>
        <w:spacing w:line="360" w:lineRule="auto"/>
        <w:ind w:right="320" w:firstLine="570"/>
        <w:jc w:val="right"/>
        <w:rPr>
          <w:rFonts w:ascii="Times New Roman" w:hAnsi="Times New Roman" w:eastAsia="仿宋_GB2312"/>
          <w:sz w:val="32"/>
          <w:szCs w:val="32"/>
        </w:rPr>
      </w:pPr>
      <w:r>
        <w:rPr>
          <w:rFonts w:ascii="Times New Roman" w:hAnsi="Times New Roman" w:eastAsia="仿宋_GB2312"/>
          <w:sz w:val="32"/>
          <w:szCs w:val="32"/>
        </w:rPr>
        <w:t xml:space="preserve">        信息工程学院      </w:t>
      </w:r>
    </w:p>
    <w:p>
      <w:pPr>
        <w:spacing w:line="360" w:lineRule="auto"/>
        <w:rPr>
          <w:rFonts w:ascii="仿宋" w:hAnsi="仿宋" w:eastAsia="仿宋" w:cs="仿宋"/>
          <w:spacing w:val="-17"/>
          <w:sz w:val="32"/>
          <w:szCs w:val="32"/>
        </w:rPr>
      </w:pPr>
      <w:r>
        <w:rPr>
          <w:rFonts w:ascii="Times New Roman" w:hAnsi="Times New Roman" w:eastAsia="仿宋_GB2312"/>
          <w:sz w:val="32"/>
        </w:rPr>
        <w:t xml:space="preserve">        </w:t>
      </w:r>
      <w:r>
        <w:rPr>
          <w:rFonts w:ascii="Times New Roman" w:hAnsi="Times New Roman" w:eastAsia="仿宋_GB2312"/>
          <w:color w:val="000000" w:themeColor="text1"/>
          <w:sz w:val="32"/>
          <w14:textFill>
            <w14:solidFill>
              <w14:schemeClr w14:val="tx1"/>
            </w14:solidFill>
          </w14:textFill>
        </w:rPr>
        <w:t xml:space="preserve">                           </w:t>
      </w:r>
      <w:r>
        <w:rPr>
          <w:rFonts w:hint="eastAsia" w:ascii="Times New Roman" w:hAnsi="Times New Roman" w:eastAsia="仿宋_GB2312"/>
          <w:color w:val="000000" w:themeColor="text1"/>
          <w:sz w:val="32"/>
          <w:lang w:val="en-US" w:eastAsia="zh-CN"/>
          <w14:textFill>
            <w14:solidFill>
              <w14:schemeClr w14:val="tx1"/>
            </w14:solidFill>
          </w14:textFill>
        </w:rPr>
        <w:t xml:space="preserve"> </w:t>
      </w:r>
      <w:r>
        <w:rPr>
          <w:rFonts w:cs="仿宋" w:asciiTheme="minorEastAsia" w:hAnsiTheme="minorEastAsia" w:eastAsiaTheme="minorEastAsia"/>
          <w:spacing w:val="-18"/>
          <w:sz w:val="31"/>
          <w:szCs w:val="31"/>
        </w:rPr>
        <w:t xml:space="preserve"> 2024</w:t>
      </w:r>
      <w:r>
        <w:rPr>
          <w:rFonts w:ascii="仿宋" w:hAnsi="仿宋" w:eastAsia="仿宋" w:cs="仿宋"/>
          <w:spacing w:val="-18"/>
          <w:sz w:val="32"/>
          <w:szCs w:val="32"/>
        </w:rPr>
        <w:t>年1月15</w:t>
      </w:r>
      <w:r>
        <w:rPr>
          <w:rFonts w:ascii="仿宋" w:hAnsi="仿宋" w:eastAsia="仿宋" w:cs="仿宋"/>
          <w:spacing w:val="-17"/>
          <w:sz w:val="32"/>
          <w:szCs w:val="32"/>
        </w:rPr>
        <w:t>日</w:t>
      </w:r>
    </w:p>
    <w:p>
      <w:pPr>
        <w:spacing w:before="101" w:line="228" w:lineRule="auto"/>
        <w:ind w:left="4668"/>
        <w:rPr>
          <w:rFonts w:ascii="仿宋" w:hAnsi="仿宋" w:eastAsia="仿宋" w:cs="仿宋"/>
          <w:spacing w:val="-17"/>
          <w:sz w:val="31"/>
          <w:szCs w:val="31"/>
        </w:rPr>
        <w:sectPr>
          <w:pgSz w:w="11906" w:h="16839"/>
          <w:pgMar w:top="1431" w:right="1035" w:bottom="0" w:left="1785" w:header="0" w:footer="0" w:gutter="0"/>
          <w:cols w:space="720" w:num="1"/>
        </w:sectPr>
      </w:pPr>
    </w:p>
    <w:p>
      <w:pPr>
        <w:pStyle w:val="2"/>
        <w:spacing w:before="0" w:after="156" w:afterLines="50" w:line="360" w:lineRule="auto"/>
        <w:jc w:val="center"/>
        <w:rPr>
          <w:rFonts w:ascii="仿宋" w:hAnsi="仿宋" w:eastAsia="仿宋" w:cs="宋体"/>
          <w:szCs w:val="32"/>
        </w:rPr>
      </w:pPr>
      <w:r>
        <w:rPr>
          <w:rFonts w:hint="eastAsia" w:ascii="仿宋" w:hAnsi="仿宋" w:eastAsia="仿宋" w:cs="宋体"/>
          <w:szCs w:val="32"/>
        </w:rPr>
        <w:t>信息工程学院2024年本科生转专业及专业分流实施细则</w:t>
      </w:r>
    </w:p>
    <w:p>
      <w:pPr>
        <w:pStyle w:val="6"/>
      </w:pPr>
      <w:r>
        <w:rPr>
          <w:rFonts w:hint="eastAsia" w:ascii="仿宋" w:hAnsi="仿宋" w:eastAsia="仿宋" w:cs="宋体"/>
          <w:sz w:val="32"/>
          <w:szCs w:val="32"/>
        </w:rPr>
        <w:t>为了适应我国高等教育综合改革和我校实施大类招生、大类培养和完全学分制改革的需要，调动学生的学习积极性与主动性，鼓励学生个性发展，持续提高人才培养质量，根据《长安大学本科生转专业及专业分流管理办法》（长大教〔2023〕271号）（以下简称《办法》）的文件精神，结合学院实际情况，制定信息工程学院本科生转专业及分流工作实施细则</w:t>
      </w:r>
      <w:r>
        <w:rPr>
          <w:rFonts w:hint="eastAsia" w:ascii="宋体" w:hAnsi="宋体" w:eastAsia="宋体" w:cs="宋体"/>
        </w:rPr>
        <w:t>。</w:t>
      </w:r>
    </w:p>
    <w:p>
      <w:pPr>
        <w:pStyle w:val="3"/>
        <w:numPr>
          <w:ilvl w:val="0"/>
          <w:numId w:val="2"/>
        </w:numPr>
        <w:spacing w:line="360" w:lineRule="auto"/>
        <w:rPr>
          <w:rFonts w:ascii="仿宋" w:hAnsi="仿宋" w:eastAsia="仿宋" w:cs="宋体"/>
          <w:sz w:val="32"/>
        </w:rPr>
      </w:pPr>
      <w:r>
        <w:rPr>
          <w:rFonts w:hint="eastAsia" w:ascii="仿宋" w:hAnsi="仿宋" w:eastAsia="仿宋" w:cs="宋体"/>
          <w:sz w:val="32"/>
        </w:rPr>
        <w:t>转专业及专业分流工作领导小组</w:t>
      </w:r>
    </w:p>
    <w:p>
      <w:pPr>
        <w:spacing w:line="360" w:lineRule="auto"/>
        <w:ind w:firstLine="640" w:firstLineChars="200"/>
        <w:jc w:val="both"/>
        <w:rPr>
          <w:rFonts w:ascii="仿宋" w:hAnsi="仿宋" w:eastAsia="仿宋" w:cs="宋体"/>
          <w:sz w:val="32"/>
          <w:szCs w:val="32"/>
        </w:rPr>
      </w:pPr>
      <w:r>
        <w:rPr>
          <w:rFonts w:hint="eastAsia" w:ascii="仿宋" w:hAnsi="仿宋" w:eastAsia="仿宋" w:cs="宋体"/>
          <w:sz w:val="32"/>
          <w:szCs w:val="32"/>
        </w:rPr>
        <w:t>组  长：安毅生、陈俊鹏</w:t>
      </w:r>
    </w:p>
    <w:p>
      <w:pPr>
        <w:spacing w:line="360" w:lineRule="auto"/>
        <w:ind w:firstLine="640" w:firstLineChars="200"/>
        <w:jc w:val="both"/>
        <w:rPr>
          <w:rFonts w:ascii="仿宋" w:hAnsi="仿宋" w:eastAsia="仿宋" w:cs="宋体"/>
          <w:sz w:val="32"/>
          <w:szCs w:val="32"/>
        </w:rPr>
      </w:pPr>
      <w:r>
        <w:rPr>
          <w:rFonts w:hint="eastAsia" w:ascii="仿宋" w:hAnsi="仿宋" w:eastAsia="仿宋" w:cs="宋体"/>
          <w:sz w:val="32"/>
          <w:szCs w:val="32"/>
        </w:rPr>
        <w:t>副组长：明洋、陈沛</w:t>
      </w:r>
    </w:p>
    <w:p>
      <w:pPr>
        <w:kinsoku/>
        <w:spacing w:line="360" w:lineRule="auto"/>
        <w:ind w:firstLine="640" w:firstLineChars="200"/>
        <w:jc w:val="both"/>
        <w:rPr>
          <w:rFonts w:ascii="仿宋" w:hAnsi="仿宋" w:eastAsia="仿宋" w:cs="宋体"/>
          <w:sz w:val="32"/>
          <w:szCs w:val="32"/>
        </w:rPr>
      </w:pPr>
      <w:r>
        <w:rPr>
          <w:rFonts w:hint="eastAsia" w:ascii="仿宋" w:hAnsi="仿宋" w:eastAsia="仿宋" w:cs="宋体"/>
          <w:sz w:val="32"/>
          <w:szCs w:val="32"/>
        </w:rPr>
        <w:t>成  员：杨玉龙、徐志刚、王威、慕晨、荆树旭、任帅、宋青松、罗向龙、高涛、王凌云、周平、杨加玉、李明阳、王怡菲、何鋆</w:t>
      </w:r>
    </w:p>
    <w:p>
      <w:pPr>
        <w:spacing w:line="360" w:lineRule="auto"/>
        <w:ind w:firstLine="640" w:firstLineChars="200"/>
        <w:jc w:val="both"/>
        <w:rPr>
          <w:rFonts w:ascii="仿宋" w:hAnsi="仿宋" w:eastAsia="仿宋" w:cs="宋体"/>
          <w:sz w:val="32"/>
          <w:szCs w:val="32"/>
        </w:rPr>
      </w:pPr>
      <w:r>
        <w:rPr>
          <w:rFonts w:hint="eastAsia" w:ascii="仿宋" w:hAnsi="仿宋" w:eastAsia="仿宋" w:cs="宋体"/>
          <w:sz w:val="32"/>
          <w:szCs w:val="32"/>
        </w:rPr>
        <w:t>秘  书：张小华</w:t>
      </w:r>
    </w:p>
    <w:p>
      <w:pPr>
        <w:pStyle w:val="3"/>
        <w:numPr>
          <w:ilvl w:val="0"/>
          <w:numId w:val="2"/>
        </w:numPr>
        <w:spacing w:line="360" w:lineRule="auto"/>
        <w:rPr>
          <w:rFonts w:ascii="仿宋" w:hAnsi="仿宋" w:eastAsia="仿宋" w:cs="宋体"/>
          <w:sz w:val="32"/>
        </w:rPr>
      </w:pPr>
      <w:r>
        <w:rPr>
          <w:rFonts w:hint="eastAsia" w:ascii="仿宋" w:hAnsi="仿宋" w:eastAsia="仿宋" w:cs="宋体"/>
          <w:sz w:val="32"/>
        </w:rPr>
        <w:t>转专业实施细则</w:t>
      </w:r>
    </w:p>
    <w:p>
      <w:pPr>
        <w:pStyle w:val="3"/>
        <w:numPr>
          <w:ilvl w:val="1"/>
          <w:numId w:val="2"/>
        </w:numPr>
        <w:spacing w:line="360" w:lineRule="auto"/>
        <w:rPr>
          <w:rFonts w:ascii="仿宋" w:hAnsi="仿宋" w:eastAsia="仿宋" w:cs="宋体"/>
          <w:kern w:val="0"/>
          <w:sz w:val="32"/>
        </w:rPr>
      </w:pPr>
      <w:r>
        <w:rPr>
          <w:rFonts w:hint="eastAsia" w:ascii="仿宋" w:hAnsi="仿宋" w:eastAsia="仿宋" w:cs="宋体"/>
          <w:kern w:val="0"/>
          <w:sz w:val="32"/>
        </w:rPr>
        <w:t>各专业接收计划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3097"/>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jc w:val="center"/>
              <w:rPr>
                <w:rFonts w:ascii="仿宋" w:hAnsi="仿宋" w:eastAsia="仿宋" w:cs="宋体"/>
                <w:sz w:val="32"/>
                <w:szCs w:val="32"/>
              </w:rPr>
            </w:pPr>
            <w:bookmarkStart w:id="0" w:name="_Hlk152347560"/>
            <w:r>
              <w:rPr>
                <w:rFonts w:hint="eastAsia" w:ascii="仿宋" w:hAnsi="仿宋" w:eastAsia="仿宋" w:cs="宋体"/>
                <w:sz w:val="32"/>
                <w:szCs w:val="32"/>
              </w:rPr>
              <w:t>专业（类）名称</w:t>
            </w:r>
          </w:p>
        </w:tc>
        <w:tc>
          <w:tcPr>
            <w:tcW w:w="3097"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计划接收人数</w:t>
            </w:r>
          </w:p>
        </w:tc>
        <w:tc>
          <w:tcPr>
            <w:tcW w:w="2250"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802" w:type="dxa"/>
            <w:vAlign w:val="center"/>
          </w:tcPr>
          <w:p>
            <w:pPr>
              <w:spacing w:line="360" w:lineRule="auto"/>
              <w:jc w:val="center"/>
              <w:rPr>
                <w:rFonts w:ascii="仿宋" w:hAnsi="仿宋" w:eastAsia="仿宋" w:cs="宋体"/>
                <w:sz w:val="32"/>
                <w:szCs w:val="32"/>
              </w:rPr>
            </w:pPr>
            <w:r>
              <w:rPr>
                <w:rFonts w:hint="eastAsia" w:ascii="仿宋" w:hAnsi="仿宋" w:eastAsia="仿宋" w:cs="宋体"/>
                <w:sz w:val="32"/>
                <w:szCs w:val="32"/>
              </w:rPr>
              <w:t>计算机类</w:t>
            </w:r>
          </w:p>
        </w:tc>
        <w:tc>
          <w:tcPr>
            <w:tcW w:w="3097" w:type="dxa"/>
            <w:vAlign w:val="center"/>
          </w:tcPr>
          <w:p>
            <w:pPr>
              <w:spacing w:line="360" w:lineRule="auto"/>
              <w:jc w:val="center"/>
              <w:rPr>
                <w:rFonts w:ascii="仿宋" w:hAnsi="仿宋" w:eastAsia="仿宋" w:cs="宋体"/>
                <w:sz w:val="32"/>
                <w:szCs w:val="32"/>
              </w:rPr>
            </w:pPr>
            <w:r>
              <w:rPr>
                <w:rFonts w:hint="eastAsia" w:ascii="仿宋" w:hAnsi="仿宋" w:eastAsia="仿宋" w:cs="宋体"/>
                <w:sz w:val="32"/>
                <w:szCs w:val="32"/>
              </w:rPr>
              <w:t>28</w:t>
            </w:r>
          </w:p>
        </w:tc>
        <w:tc>
          <w:tcPr>
            <w:tcW w:w="2250" w:type="dxa"/>
          </w:tcPr>
          <w:p>
            <w:pPr>
              <w:spacing w:line="360" w:lineRule="auto"/>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360" w:lineRule="auto"/>
              <w:jc w:val="center"/>
              <w:rPr>
                <w:rFonts w:ascii="仿宋" w:hAnsi="仿宋" w:eastAsia="仿宋" w:cs="宋体"/>
                <w:sz w:val="32"/>
                <w:szCs w:val="32"/>
              </w:rPr>
            </w:pPr>
            <w:r>
              <w:rPr>
                <w:rFonts w:hint="eastAsia" w:ascii="仿宋" w:hAnsi="仿宋" w:eastAsia="仿宋" w:cs="宋体"/>
                <w:sz w:val="32"/>
                <w:szCs w:val="32"/>
              </w:rPr>
              <w:t>电子信息类</w:t>
            </w:r>
          </w:p>
        </w:tc>
        <w:tc>
          <w:tcPr>
            <w:tcW w:w="3097" w:type="dxa"/>
            <w:vAlign w:val="center"/>
          </w:tcPr>
          <w:p>
            <w:pPr>
              <w:spacing w:line="360" w:lineRule="auto"/>
              <w:jc w:val="center"/>
              <w:rPr>
                <w:rFonts w:ascii="仿宋" w:hAnsi="仿宋" w:eastAsia="仿宋" w:cs="宋体"/>
                <w:sz w:val="32"/>
                <w:szCs w:val="32"/>
              </w:rPr>
            </w:pPr>
            <w:r>
              <w:rPr>
                <w:rFonts w:hint="eastAsia" w:ascii="仿宋" w:hAnsi="仿宋" w:eastAsia="仿宋" w:cs="宋体"/>
                <w:sz w:val="32"/>
                <w:szCs w:val="32"/>
              </w:rPr>
              <w:t>21</w:t>
            </w:r>
          </w:p>
        </w:tc>
        <w:tc>
          <w:tcPr>
            <w:tcW w:w="2250" w:type="dxa"/>
          </w:tcPr>
          <w:p>
            <w:pPr>
              <w:spacing w:line="360" w:lineRule="auto"/>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spacing w:line="360" w:lineRule="auto"/>
              <w:jc w:val="center"/>
              <w:rPr>
                <w:rFonts w:ascii="仿宋" w:hAnsi="仿宋" w:eastAsia="仿宋" w:cs="宋体"/>
                <w:sz w:val="32"/>
                <w:szCs w:val="32"/>
              </w:rPr>
            </w:pPr>
            <w:r>
              <w:rPr>
                <w:rFonts w:hint="eastAsia" w:ascii="仿宋" w:hAnsi="仿宋" w:eastAsia="仿宋" w:cs="宋体"/>
                <w:sz w:val="32"/>
                <w:szCs w:val="32"/>
              </w:rPr>
              <w:t>人工智能</w:t>
            </w:r>
          </w:p>
        </w:tc>
        <w:tc>
          <w:tcPr>
            <w:tcW w:w="3097" w:type="dxa"/>
            <w:vAlign w:val="center"/>
          </w:tcPr>
          <w:p>
            <w:pPr>
              <w:spacing w:line="360" w:lineRule="auto"/>
              <w:jc w:val="center"/>
              <w:rPr>
                <w:rFonts w:ascii="仿宋" w:hAnsi="仿宋" w:eastAsia="仿宋" w:cs="宋体"/>
                <w:sz w:val="32"/>
                <w:szCs w:val="32"/>
              </w:rPr>
            </w:pPr>
            <w:r>
              <w:rPr>
                <w:rFonts w:hint="eastAsia" w:ascii="仿宋" w:hAnsi="仿宋" w:eastAsia="仿宋" w:cs="宋体"/>
                <w:sz w:val="32"/>
                <w:szCs w:val="32"/>
              </w:rPr>
              <w:t>9</w:t>
            </w:r>
          </w:p>
        </w:tc>
        <w:tc>
          <w:tcPr>
            <w:tcW w:w="2250" w:type="dxa"/>
          </w:tcPr>
          <w:p>
            <w:pPr>
              <w:spacing w:line="360" w:lineRule="auto"/>
              <w:jc w:val="center"/>
              <w:rPr>
                <w:rFonts w:ascii="仿宋" w:hAnsi="仿宋" w:eastAsia="仿宋"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802" w:type="dxa"/>
            <w:vAlign w:val="center"/>
          </w:tcPr>
          <w:p>
            <w:pPr>
              <w:spacing w:line="360" w:lineRule="auto"/>
              <w:jc w:val="center"/>
              <w:rPr>
                <w:rFonts w:ascii="仿宋" w:hAnsi="仿宋" w:eastAsia="仿宋" w:cs="宋体"/>
                <w:sz w:val="32"/>
                <w:szCs w:val="32"/>
              </w:rPr>
            </w:pPr>
            <w:r>
              <w:rPr>
                <w:rFonts w:hint="eastAsia" w:ascii="仿宋" w:hAnsi="仿宋" w:eastAsia="仿宋" w:cs="宋体"/>
                <w:sz w:val="32"/>
                <w:szCs w:val="32"/>
              </w:rPr>
              <w:t>合计</w:t>
            </w:r>
          </w:p>
        </w:tc>
        <w:tc>
          <w:tcPr>
            <w:tcW w:w="3097" w:type="dxa"/>
            <w:vAlign w:val="center"/>
          </w:tcPr>
          <w:p>
            <w:pPr>
              <w:spacing w:line="360" w:lineRule="auto"/>
              <w:jc w:val="center"/>
              <w:rPr>
                <w:rFonts w:ascii="仿宋" w:hAnsi="仿宋" w:eastAsia="仿宋" w:cs="宋体"/>
                <w:sz w:val="32"/>
                <w:szCs w:val="32"/>
              </w:rPr>
            </w:pPr>
            <w:r>
              <w:rPr>
                <w:rFonts w:hint="eastAsia" w:ascii="仿宋" w:hAnsi="仿宋" w:eastAsia="仿宋" w:cs="宋体"/>
                <w:sz w:val="32"/>
                <w:szCs w:val="32"/>
              </w:rPr>
              <w:t>58</w:t>
            </w:r>
          </w:p>
        </w:tc>
        <w:tc>
          <w:tcPr>
            <w:tcW w:w="2250" w:type="dxa"/>
          </w:tcPr>
          <w:p>
            <w:pPr>
              <w:spacing w:line="360" w:lineRule="auto"/>
              <w:jc w:val="center"/>
              <w:rPr>
                <w:rFonts w:ascii="仿宋" w:hAnsi="仿宋" w:eastAsia="仿宋" w:cs="宋体"/>
                <w:sz w:val="32"/>
                <w:szCs w:val="32"/>
              </w:rPr>
            </w:pPr>
          </w:p>
        </w:tc>
      </w:tr>
      <w:bookmarkEnd w:id="0"/>
    </w:tbl>
    <w:p>
      <w:pPr>
        <w:spacing w:line="360" w:lineRule="auto"/>
        <w:rPr>
          <w:rFonts w:ascii="仿宋" w:hAnsi="仿宋" w:eastAsia="仿宋" w:cs="宋体"/>
          <w:sz w:val="32"/>
          <w:szCs w:val="32"/>
        </w:rPr>
      </w:pPr>
      <w:r>
        <w:rPr>
          <w:rFonts w:hint="eastAsia" w:ascii="仿宋" w:hAnsi="仿宋" w:eastAsia="仿宋" w:cs="宋体"/>
          <w:sz w:val="32"/>
          <w:szCs w:val="32"/>
        </w:rPr>
        <w:t>注：人工智能（中外合作）专业不接收其他学院转专业的学生。</w:t>
      </w:r>
    </w:p>
    <w:p>
      <w:pPr>
        <w:pStyle w:val="3"/>
        <w:numPr>
          <w:ilvl w:val="1"/>
          <w:numId w:val="2"/>
        </w:numPr>
        <w:spacing w:line="360" w:lineRule="auto"/>
        <w:rPr>
          <w:rFonts w:ascii="仿宋" w:hAnsi="仿宋" w:eastAsia="仿宋" w:cs="宋体"/>
          <w:kern w:val="0"/>
          <w:sz w:val="32"/>
        </w:rPr>
      </w:pPr>
      <w:r>
        <w:rPr>
          <w:rFonts w:hint="eastAsia" w:ascii="仿宋" w:hAnsi="仿宋" w:eastAsia="仿宋" w:cs="宋体"/>
          <w:kern w:val="0"/>
          <w:sz w:val="32"/>
        </w:rPr>
        <w:t>申请转入条件</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（一）转入基本条件</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按照《办法》第二章第十条执行。</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（二）转入条件</w:t>
      </w:r>
    </w:p>
    <w:p>
      <w:pPr>
        <w:kinsoku/>
        <w:spacing w:line="360" w:lineRule="auto"/>
        <w:ind w:firstLine="480"/>
        <w:jc w:val="both"/>
        <w:rPr>
          <w:rFonts w:ascii="仿宋" w:hAnsi="仿宋" w:eastAsia="仿宋" w:cs="宋体"/>
          <w:sz w:val="32"/>
          <w:szCs w:val="32"/>
        </w:rPr>
      </w:pPr>
      <w:r>
        <w:rPr>
          <w:rFonts w:hint="eastAsia" w:ascii="仿宋" w:hAnsi="仿宋" w:eastAsia="仿宋" w:cs="宋体"/>
          <w:sz w:val="32"/>
          <w:szCs w:val="32"/>
        </w:rPr>
        <w:t>①跨学院申请：第一学期专业（类）排名前40%</w:t>
      </w:r>
      <w:bookmarkStart w:id="1" w:name="_Hlk152415096"/>
      <w:r>
        <w:rPr>
          <w:rFonts w:hint="eastAsia" w:ascii="仿宋" w:hAnsi="仿宋" w:eastAsia="仿宋" w:cs="宋体"/>
          <w:sz w:val="32"/>
          <w:szCs w:val="32"/>
        </w:rPr>
        <w:t>（含）</w:t>
      </w:r>
      <w:bookmarkEnd w:id="1"/>
      <w:r>
        <w:rPr>
          <w:rFonts w:hint="eastAsia" w:ascii="仿宋" w:hAnsi="仿宋" w:eastAsia="仿宋" w:cs="宋体"/>
          <w:sz w:val="32"/>
          <w:szCs w:val="32"/>
        </w:rPr>
        <w:t>的学生。</w:t>
      </w:r>
    </w:p>
    <w:p>
      <w:pPr>
        <w:kinsoku/>
        <w:spacing w:line="360" w:lineRule="auto"/>
        <w:ind w:firstLine="482"/>
        <w:jc w:val="both"/>
        <w:rPr>
          <w:rFonts w:ascii="仿宋" w:hAnsi="仿宋" w:eastAsia="仿宋" w:cs="宋体"/>
          <w:sz w:val="32"/>
          <w:szCs w:val="32"/>
        </w:rPr>
      </w:pPr>
      <w:r>
        <w:rPr>
          <w:rFonts w:hint="eastAsia" w:ascii="仿宋" w:hAnsi="仿宋" w:eastAsia="仿宋" w:cs="宋体"/>
          <w:sz w:val="32"/>
          <w:szCs w:val="32"/>
        </w:rPr>
        <w:t>②学院内申请：第一学期专业（类）排名前40%（含）的学生，人工智能（中外合作）专业的学生，不能申请转专业。</w:t>
      </w:r>
    </w:p>
    <w:p>
      <w:pPr>
        <w:kinsoku/>
        <w:spacing w:line="360" w:lineRule="auto"/>
        <w:ind w:firstLine="480"/>
        <w:jc w:val="both"/>
        <w:rPr>
          <w:rFonts w:ascii="仿宋" w:hAnsi="仿宋" w:eastAsia="仿宋" w:cs="宋体"/>
          <w:sz w:val="32"/>
          <w:szCs w:val="32"/>
        </w:rPr>
      </w:pPr>
      <w:bookmarkStart w:id="2" w:name="_Hlk152779264"/>
      <w:r>
        <w:rPr>
          <w:rFonts w:hint="eastAsia" w:ascii="仿宋" w:hAnsi="仿宋" w:eastAsia="仿宋" w:cs="宋体"/>
          <w:sz w:val="32"/>
          <w:szCs w:val="32"/>
        </w:rPr>
        <w:t>③</w:t>
      </w:r>
      <w:bookmarkEnd w:id="2"/>
      <w:r>
        <w:rPr>
          <w:rFonts w:hint="eastAsia" w:ascii="仿宋" w:hAnsi="仿宋" w:eastAsia="仿宋" w:cs="宋体"/>
          <w:sz w:val="32"/>
          <w:szCs w:val="32"/>
        </w:rPr>
        <w:t>高考选考“理综”、“3+3模式”的考生高考科目中选考物理、“3+2+1模式”的考生首选科目是物理，对所报专业有一定了解。</w:t>
      </w:r>
    </w:p>
    <w:p>
      <w:pPr>
        <w:kinsoku/>
        <w:spacing w:line="360" w:lineRule="auto"/>
        <w:ind w:firstLine="480"/>
        <w:jc w:val="both"/>
        <w:rPr>
          <w:rFonts w:ascii="仿宋" w:hAnsi="仿宋" w:eastAsia="仿宋" w:cs="宋体"/>
          <w:sz w:val="32"/>
          <w:szCs w:val="32"/>
        </w:rPr>
      </w:pPr>
      <w:r>
        <w:rPr>
          <w:rFonts w:hint="eastAsia" w:ascii="仿宋" w:hAnsi="仿宋" w:eastAsia="仿宋" w:cs="宋体"/>
          <w:sz w:val="32"/>
          <w:szCs w:val="32"/>
        </w:rPr>
        <w:t>④其他情况按照《办法》第十一条、第十二条和第十三条执行。</w:t>
      </w:r>
    </w:p>
    <w:p>
      <w:pPr>
        <w:pStyle w:val="3"/>
        <w:numPr>
          <w:ilvl w:val="1"/>
          <w:numId w:val="2"/>
        </w:numPr>
        <w:spacing w:line="360" w:lineRule="auto"/>
        <w:rPr>
          <w:rFonts w:ascii="仿宋" w:hAnsi="仿宋" w:eastAsia="仿宋" w:cs="宋体"/>
          <w:kern w:val="0"/>
          <w:sz w:val="32"/>
        </w:rPr>
      </w:pPr>
      <w:r>
        <w:rPr>
          <w:rFonts w:hint="eastAsia" w:ascii="仿宋" w:hAnsi="仿宋" w:eastAsia="仿宋" w:cs="宋体"/>
          <w:kern w:val="0"/>
          <w:sz w:val="32"/>
        </w:rPr>
        <w:t>考核办法</w:t>
      </w:r>
    </w:p>
    <w:p>
      <w:pPr>
        <w:spacing w:line="360" w:lineRule="auto"/>
        <w:ind w:left="480"/>
        <w:rPr>
          <w:rFonts w:ascii="仿宋" w:hAnsi="仿宋" w:eastAsia="仿宋" w:cs="宋体"/>
          <w:sz w:val="32"/>
          <w:szCs w:val="32"/>
        </w:rPr>
      </w:pPr>
      <w:r>
        <w:rPr>
          <w:rFonts w:hint="eastAsia" w:ascii="仿宋" w:hAnsi="仿宋" w:eastAsia="仿宋" w:cs="宋体"/>
          <w:sz w:val="32"/>
          <w:szCs w:val="32"/>
        </w:rPr>
        <w:t>（一）考核形式及内容</w:t>
      </w:r>
    </w:p>
    <w:p>
      <w:pPr>
        <w:spacing w:line="360" w:lineRule="auto"/>
        <w:ind w:firstLine="480"/>
        <w:rPr>
          <w:rFonts w:ascii="仿宋" w:hAnsi="仿宋" w:eastAsia="仿宋" w:cs="宋体"/>
          <w:sz w:val="32"/>
          <w:szCs w:val="32"/>
        </w:rPr>
      </w:pPr>
      <w:r>
        <w:rPr>
          <w:rFonts w:hint="eastAsia" w:ascii="仿宋" w:hAnsi="仿宋" w:eastAsia="仿宋" w:cs="宋体"/>
          <w:sz w:val="32"/>
          <w:szCs w:val="32"/>
        </w:rPr>
        <w:t>①考核形式：面试。</w:t>
      </w:r>
    </w:p>
    <w:p>
      <w:pPr>
        <w:spacing w:line="360" w:lineRule="auto"/>
        <w:ind w:firstLine="480"/>
        <w:rPr>
          <w:rFonts w:ascii="仿宋" w:hAnsi="仿宋" w:eastAsia="仿宋" w:cs="宋体"/>
          <w:sz w:val="32"/>
          <w:szCs w:val="32"/>
        </w:rPr>
      </w:pPr>
      <w:r>
        <w:rPr>
          <w:rFonts w:hint="eastAsia" w:ascii="仿宋" w:hAnsi="仿宋" w:eastAsia="仿宋" w:cs="宋体"/>
          <w:sz w:val="32"/>
          <w:szCs w:val="32"/>
        </w:rPr>
        <w:t>②考核内容：考察思想政治、心理素质、创新能力、发展潜力和实践能力等，面试全程录音录像。</w:t>
      </w:r>
    </w:p>
    <w:p>
      <w:pPr>
        <w:kinsoku/>
        <w:spacing w:line="360" w:lineRule="auto"/>
        <w:ind w:firstLine="482"/>
        <w:rPr>
          <w:rFonts w:ascii="仿宋" w:hAnsi="仿宋" w:eastAsia="仿宋" w:cs="宋体"/>
          <w:sz w:val="32"/>
          <w:szCs w:val="32"/>
        </w:rPr>
      </w:pPr>
      <w:r>
        <w:rPr>
          <w:rFonts w:hint="eastAsia" w:ascii="仿宋" w:hAnsi="仿宋" w:eastAsia="仿宋" w:cs="宋体"/>
          <w:sz w:val="32"/>
          <w:szCs w:val="32"/>
        </w:rPr>
        <w:t>（二）考核组构成</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由所转入专业（类）的系主任、副高以上职称的教师组成，成员为5人。</w:t>
      </w:r>
    </w:p>
    <w:p>
      <w:pPr>
        <w:spacing w:line="360" w:lineRule="auto"/>
        <w:ind w:firstLine="480"/>
        <w:rPr>
          <w:rFonts w:ascii="仿宋" w:hAnsi="仿宋" w:eastAsia="仿宋" w:cs="宋体"/>
          <w:sz w:val="32"/>
          <w:szCs w:val="32"/>
        </w:rPr>
      </w:pPr>
      <w:r>
        <w:rPr>
          <w:rFonts w:hint="eastAsia" w:ascii="仿宋" w:hAnsi="仿宋" w:eastAsia="仿宋" w:cs="宋体"/>
          <w:sz w:val="32"/>
          <w:szCs w:val="32"/>
        </w:rPr>
        <w:t>（三）考核评定</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学院对申请转入学生进行综合考核，成绩构成如下：</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综合考核成绩=</w:t>
      </w:r>
      <w:bookmarkStart w:id="3" w:name="_Hlk152353225"/>
      <w:r>
        <w:rPr>
          <w:rFonts w:hint="eastAsia" w:ascii="仿宋" w:hAnsi="仿宋" w:eastAsia="仿宋" w:cs="宋体"/>
          <w:sz w:val="32"/>
          <w:szCs w:val="32"/>
        </w:rPr>
        <w:t>第一学期学业成绩（加权成绩）</w:t>
      </w:r>
      <w:bookmarkEnd w:id="3"/>
      <w:r>
        <w:rPr>
          <w:rFonts w:hint="eastAsia" w:ascii="仿宋" w:hAnsi="仿宋" w:eastAsia="仿宋" w:cs="宋体"/>
          <w:sz w:val="32"/>
          <w:szCs w:val="32"/>
        </w:rPr>
        <w:t>*80%+面试成绩*20%</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其中：面试成绩满分100分，低于60者不能参与综合考核成绩排名。</w:t>
      </w:r>
    </w:p>
    <w:p>
      <w:pPr>
        <w:pStyle w:val="3"/>
        <w:numPr>
          <w:ilvl w:val="1"/>
          <w:numId w:val="2"/>
        </w:numPr>
        <w:spacing w:line="360" w:lineRule="auto"/>
        <w:rPr>
          <w:rFonts w:ascii="仿宋" w:hAnsi="仿宋" w:eastAsia="仿宋" w:cs="宋体"/>
          <w:kern w:val="0"/>
          <w:sz w:val="32"/>
        </w:rPr>
      </w:pPr>
      <w:r>
        <w:rPr>
          <w:rFonts w:hint="eastAsia" w:ascii="仿宋" w:hAnsi="仿宋" w:eastAsia="仿宋" w:cs="宋体"/>
          <w:kern w:val="0"/>
          <w:sz w:val="32"/>
        </w:rPr>
        <w:t>工作程序</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①符合条件的学生在规定时间内，向所在院（系）提出书面申请，填写《长安大学本科生转专业（类）申请表》，并在教务系统提交转专业申请。</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②学院对申请转入学生的资格进行审查。</w:t>
      </w:r>
    </w:p>
    <w:p>
      <w:pPr>
        <w:spacing w:line="360" w:lineRule="auto"/>
        <w:ind w:firstLine="480"/>
        <w:jc w:val="both"/>
        <w:rPr>
          <w:rFonts w:ascii="仿宋" w:hAnsi="仿宋" w:eastAsia="仿宋" w:cs="宋体"/>
          <w:sz w:val="32"/>
          <w:szCs w:val="32"/>
        </w:rPr>
      </w:pPr>
      <w:bookmarkStart w:id="4" w:name="_Hlk152353429"/>
      <w:r>
        <w:rPr>
          <w:rFonts w:hint="eastAsia" w:ascii="仿宋" w:hAnsi="仿宋" w:eastAsia="仿宋" w:cs="宋体"/>
          <w:sz w:val="32"/>
          <w:szCs w:val="32"/>
        </w:rPr>
        <w:t>③</w:t>
      </w:r>
      <w:bookmarkEnd w:id="4"/>
      <w:r>
        <w:rPr>
          <w:rFonts w:hint="eastAsia" w:ascii="仿宋" w:hAnsi="仿宋" w:eastAsia="仿宋" w:cs="宋体"/>
          <w:sz w:val="32"/>
          <w:szCs w:val="32"/>
        </w:rPr>
        <w:t>面试时间和地点另行公布，申请转入学生凭有效证件参加学院组织的面试，未在规定时间和地点参加面试的视为放弃转入资格。</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④学院对通过资格审查和已参加面试的转入学生按综合考核成绩进行排名，依据专业（类）计划接收人从高到低依次录取，并形成转专业接收方案。</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⑤转专业及专业分流工作领导小组审核转专业接收方案后上报学校教务处。</w:t>
      </w:r>
    </w:p>
    <w:p>
      <w:pPr>
        <w:pStyle w:val="3"/>
        <w:numPr>
          <w:ilvl w:val="0"/>
          <w:numId w:val="2"/>
        </w:numPr>
        <w:spacing w:line="360" w:lineRule="auto"/>
        <w:rPr>
          <w:rFonts w:ascii="仿宋" w:hAnsi="仿宋" w:eastAsia="仿宋" w:cs="宋体"/>
          <w:sz w:val="32"/>
        </w:rPr>
      </w:pPr>
      <w:r>
        <w:rPr>
          <w:rFonts w:hint="eastAsia" w:ascii="仿宋" w:hAnsi="仿宋" w:eastAsia="仿宋" w:cs="宋体"/>
          <w:sz w:val="32"/>
        </w:rPr>
        <w:t>学院专业分流实施细则</w:t>
      </w:r>
    </w:p>
    <w:p>
      <w:pPr>
        <w:spacing w:line="360" w:lineRule="auto"/>
        <w:ind w:firstLine="460"/>
        <w:jc w:val="both"/>
        <w:rPr>
          <w:rFonts w:ascii="仿宋" w:hAnsi="仿宋" w:eastAsia="仿宋" w:cs="宋体"/>
          <w:sz w:val="32"/>
          <w:szCs w:val="32"/>
        </w:rPr>
      </w:pPr>
      <w:r>
        <w:rPr>
          <w:rFonts w:hint="eastAsia" w:ascii="仿宋" w:hAnsi="仿宋" w:eastAsia="仿宋" w:cs="宋体"/>
          <w:sz w:val="32"/>
          <w:szCs w:val="32"/>
        </w:rPr>
        <w:t>专业分流在第二学期进行，自第三学期进入各专业培养阶段。专业分流根据专业发展规划、师资队伍及办学条件、学生本人意愿、综合成绩排名等综合确定。</w:t>
      </w:r>
    </w:p>
    <w:p>
      <w:pPr>
        <w:pStyle w:val="3"/>
        <w:numPr>
          <w:ilvl w:val="1"/>
          <w:numId w:val="2"/>
        </w:numPr>
        <w:spacing w:line="360" w:lineRule="auto"/>
        <w:rPr>
          <w:rFonts w:ascii="仿宋" w:hAnsi="仿宋" w:eastAsia="仿宋" w:cs="宋体"/>
          <w:kern w:val="0"/>
          <w:sz w:val="32"/>
        </w:rPr>
      </w:pPr>
      <w:r>
        <w:rPr>
          <w:rFonts w:hint="eastAsia" w:ascii="仿宋" w:hAnsi="仿宋" w:eastAsia="仿宋" w:cs="宋体"/>
          <w:kern w:val="0"/>
          <w:sz w:val="32"/>
        </w:rPr>
        <w:t>专业设置和规模</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2023级本科生分流专业设置和规模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664"/>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35"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专业类名称</w:t>
            </w:r>
          </w:p>
        </w:tc>
        <w:tc>
          <w:tcPr>
            <w:tcW w:w="3664"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所含专业</w:t>
            </w:r>
          </w:p>
        </w:tc>
        <w:tc>
          <w:tcPr>
            <w:tcW w:w="2250"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自然班数量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35" w:type="dxa"/>
            <w:vMerge w:val="restart"/>
            <w:vAlign w:val="center"/>
          </w:tcPr>
          <w:p>
            <w:pPr>
              <w:spacing w:line="360" w:lineRule="auto"/>
              <w:jc w:val="center"/>
              <w:rPr>
                <w:rFonts w:ascii="仿宋" w:hAnsi="仿宋" w:eastAsia="仿宋" w:cs="宋体"/>
                <w:sz w:val="32"/>
                <w:szCs w:val="32"/>
              </w:rPr>
            </w:pPr>
            <w:r>
              <w:rPr>
                <w:rFonts w:hint="eastAsia" w:ascii="仿宋" w:hAnsi="仿宋" w:eastAsia="仿宋" w:cs="宋体"/>
                <w:sz w:val="32"/>
                <w:szCs w:val="32"/>
              </w:rPr>
              <w:t>计算机类</w:t>
            </w:r>
          </w:p>
        </w:tc>
        <w:tc>
          <w:tcPr>
            <w:tcW w:w="3664"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计算机科学与技术</w:t>
            </w:r>
          </w:p>
        </w:tc>
        <w:tc>
          <w:tcPr>
            <w:tcW w:w="2250"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235" w:type="dxa"/>
            <w:vMerge w:val="continue"/>
            <w:vAlign w:val="center"/>
          </w:tcPr>
          <w:p>
            <w:pPr>
              <w:spacing w:line="360" w:lineRule="auto"/>
              <w:jc w:val="center"/>
              <w:rPr>
                <w:rFonts w:ascii="仿宋" w:hAnsi="仿宋" w:eastAsia="仿宋" w:cs="宋体"/>
                <w:sz w:val="32"/>
                <w:szCs w:val="32"/>
              </w:rPr>
            </w:pPr>
          </w:p>
        </w:tc>
        <w:tc>
          <w:tcPr>
            <w:tcW w:w="3664"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计算机科学与技术（卓越工程师）</w:t>
            </w:r>
          </w:p>
        </w:tc>
        <w:tc>
          <w:tcPr>
            <w:tcW w:w="2250"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235" w:type="dxa"/>
            <w:vMerge w:val="continue"/>
            <w:vAlign w:val="center"/>
          </w:tcPr>
          <w:p>
            <w:pPr>
              <w:spacing w:line="360" w:lineRule="auto"/>
              <w:jc w:val="center"/>
              <w:rPr>
                <w:rFonts w:ascii="仿宋" w:hAnsi="仿宋" w:eastAsia="仿宋" w:cs="宋体"/>
                <w:sz w:val="32"/>
                <w:szCs w:val="32"/>
              </w:rPr>
            </w:pPr>
          </w:p>
        </w:tc>
        <w:tc>
          <w:tcPr>
            <w:tcW w:w="3664"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软件工程</w:t>
            </w:r>
          </w:p>
        </w:tc>
        <w:tc>
          <w:tcPr>
            <w:tcW w:w="2250"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235" w:type="dxa"/>
            <w:vMerge w:val="continue"/>
            <w:vAlign w:val="center"/>
          </w:tcPr>
          <w:p>
            <w:pPr>
              <w:spacing w:line="360" w:lineRule="auto"/>
              <w:jc w:val="center"/>
              <w:rPr>
                <w:rFonts w:ascii="仿宋" w:hAnsi="仿宋" w:eastAsia="仿宋" w:cs="宋体"/>
                <w:sz w:val="32"/>
                <w:szCs w:val="32"/>
              </w:rPr>
            </w:pPr>
          </w:p>
        </w:tc>
        <w:tc>
          <w:tcPr>
            <w:tcW w:w="3664"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物联网工程</w:t>
            </w:r>
          </w:p>
        </w:tc>
        <w:tc>
          <w:tcPr>
            <w:tcW w:w="2250"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235" w:type="dxa"/>
            <w:vMerge w:val="restart"/>
            <w:vAlign w:val="center"/>
          </w:tcPr>
          <w:p>
            <w:pPr>
              <w:spacing w:line="360" w:lineRule="auto"/>
              <w:jc w:val="center"/>
              <w:rPr>
                <w:rFonts w:ascii="仿宋" w:hAnsi="仿宋" w:eastAsia="仿宋" w:cs="宋体"/>
                <w:sz w:val="32"/>
                <w:szCs w:val="32"/>
              </w:rPr>
            </w:pPr>
            <w:r>
              <w:rPr>
                <w:rFonts w:hint="eastAsia" w:ascii="仿宋" w:hAnsi="仿宋" w:eastAsia="仿宋" w:cs="宋体"/>
                <w:sz w:val="32"/>
                <w:szCs w:val="32"/>
              </w:rPr>
              <w:t>电子信息类</w:t>
            </w:r>
          </w:p>
        </w:tc>
        <w:tc>
          <w:tcPr>
            <w:tcW w:w="3664"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电子信息工程</w:t>
            </w:r>
          </w:p>
        </w:tc>
        <w:tc>
          <w:tcPr>
            <w:tcW w:w="2250"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35" w:type="dxa"/>
            <w:vMerge w:val="continue"/>
          </w:tcPr>
          <w:p>
            <w:pPr>
              <w:spacing w:line="360" w:lineRule="auto"/>
              <w:jc w:val="center"/>
              <w:rPr>
                <w:rFonts w:ascii="仿宋" w:hAnsi="仿宋" w:eastAsia="仿宋" w:cs="宋体"/>
                <w:sz w:val="32"/>
                <w:szCs w:val="32"/>
              </w:rPr>
            </w:pPr>
          </w:p>
        </w:tc>
        <w:tc>
          <w:tcPr>
            <w:tcW w:w="3664"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通信工程</w:t>
            </w:r>
          </w:p>
        </w:tc>
        <w:tc>
          <w:tcPr>
            <w:tcW w:w="2250"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899" w:type="dxa"/>
            <w:gridSpan w:val="2"/>
          </w:tcPr>
          <w:p>
            <w:pPr>
              <w:spacing w:line="360" w:lineRule="auto"/>
              <w:jc w:val="center"/>
              <w:rPr>
                <w:rFonts w:ascii="仿宋" w:hAnsi="仿宋" w:eastAsia="仿宋" w:cs="宋体"/>
                <w:sz w:val="32"/>
                <w:szCs w:val="32"/>
              </w:rPr>
            </w:pPr>
            <w:r>
              <w:rPr>
                <w:rFonts w:hint="eastAsia" w:ascii="仿宋" w:hAnsi="仿宋" w:eastAsia="仿宋" w:cs="宋体"/>
                <w:sz w:val="32"/>
                <w:szCs w:val="32"/>
              </w:rPr>
              <w:t>合计</w:t>
            </w:r>
          </w:p>
        </w:tc>
        <w:tc>
          <w:tcPr>
            <w:tcW w:w="2250" w:type="dxa"/>
          </w:tcPr>
          <w:p>
            <w:pPr>
              <w:spacing w:line="360" w:lineRule="auto"/>
              <w:jc w:val="center"/>
              <w:rPr>
                <w:rFonts w:ascii="仿宋" w:hAnsi="仿宋" w:eastAsia="仿宋" w:cs="宋体"/>
                <w:sz w:val="32"/>
                <w:szCs w:val="32"/>
              </w:rPr>
            </w:pPr>
            <w:r>
              <w:rPr>
                <w:rFonts w:hint="eastAsia" w:ascii="仿宋" w:hAnsi="仿宋" w:eastAsia="仿宋" w:cs="宋体"/>
                <w:sz w:val="32"/>
                <w:szCs w:val="32"/>
              </w:rPr>
              <w:t>11</w:t>
            </w:r>
          </w:p>
        </w:tc>
      </w:tr>
    </w:tbl>
    <w:p>
      <w:pPr>
        <w:pStyle w:val="3"/>
        <w:numPr>
          <w:ilvl w:val="1"/>
          <w:numId w:val="2"/>
        </w:numPr>
        <w:spacing w:line="360" w:lineRule="auto"/>
        <w:rPr>
          <w:rFonts w:ascii="仿宋" w:hAnsi="仿宋" w:eastAsia="仿宋" w:cs="宋体"/>
          <w:kern w:val="0"/>
          <w:sz w:val="32"/>
        </w:rPr>
      </w:pPr>
      <w:r>
        <w:rPr>
          <w:rFonts w:hint="eastAsia" w:ascii="仿宋" w:hAnsi="仿宋" w:eastAsia="仿宋" w:cs="宋体"/>
          <w:kern w:val="0"/>
          <w:sz w:val="32"/>
        </w:rPr>
        <w:t>专业分流规则</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①已转入大类的学生按照综合考核成绩排名，依据分流志愿进行分流，第一志愿专业满额则分流到第二志愿，以此类推。</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②原信息学院的学生按照第一学期学业成绩（加权成绩）排名，依据分流志愿进行分流，第一志愿专业满额则分流到第二志愿，以此类推。</w:t>
      </w:r>
    </w:p>
    <w:p>
      <w:pPr>
        <w:spacing w:line="360" w:lineRule="auto"/>
        <w:ind w:firstLine="480"/>
        <w:jc w:val="both"/>
        <w:rPr>
          <w:rFonts w:ascii="仿宋" w:hAnsi="仿宋" w:eastAsia="仿宋" w:cs="宋体"/>
          <w:sz w:val="32"/>
          <w:szCs w:val="32"/>
        </w:rPr>
      </w:pPr>
      <w:bookmarkStart w:id="5" w:name="_Hlk152353628"/>
      <w:r>
        <w:rPr>
          <w:rFonts w:hint="eastAsia" w:ascii="仿宋" w:hAnsi="仿宋" w:eastAsia="仿宋" w:cs="宋体"/>
          <w:sz w:val="32"/>
          <w:szCs w:val="32"/>
        </w:rPr>
        <w:t>③</w:t>
      </w:r>
      <w:bookmarkEnd w:id="5"/>
      <w:r>
        <w:rPr>
          <w:rFonts w:hint="eastAsia" w:ascii="仿宋" w:hAnsi="仿宋" w:eastAsia="仿宋" w:cs="宋体"/>
          <w:sz w:val="32"/>
          <w:szCs w:val="32"/>
        </w:rPr>
        <w:t>计算机类和电子信息类各专业接收人数按照《办法》第三章第十六条规定，班级容量不大于40人。</w:t>
      </w:r>
    </w:p>
    <w:p>
      <w:pPr>
        <w:kinsoku/>
        <w:spacing w:line="360" w:lineRule="auto"/>
        <w:ind w:firstLine="482"/>
        <w:jc w:val="both"/>
        <w:rPr>
          <w:rFonts w:ascii="仿宋" w:hAnsi="仿宋" w:eastAsia="仿宋" w:cs="宋体"/>
          <w:sz w:val="32"/>
          <w:szCs w:val="32"/>
        </w:rPr>
      </w:pPr>
      <w:r>
        <w:rPr>
          <w:rFonts w:hint="eastAsia" w:ascii="仿宋" w:hAnsi="仿宋" w:eastAsia="仿宋" w:cs="宋体"/>
          <w:sz w:val="32"/>
          <w:szCs w:val="32"/>
        </w:rPr>
        <w:t>④人工智能、人工智能（中外合作）专业不参加专业分流。</w:t>
      </w:r>
    </w:p>
    <w:p>
      <w:pPr>
        <w:pStyle w:val="3"/>
        <w:numPr>
          <w:ilvl w:val="1"/>
          <w:numId w:val="2"/>
        </w:numPr>
        <w:spacing w:line="360" w:lineRule="auto"/>
        <w:rPr>
          <w:rFonts w:ascii="仿宋" w:hAnsi="仿宋" w:eastAsia="仿宋" w:cs="宋体"/>
          <w:kern w:val="0"/>
          <w:sz w:val="32"/>
        </w:rPr>
      </w:pPr>
      <w:r>
        <w:rPr>
          <w:rFonts w:hint="eastAsia" w:ascii="仿宋" w:hAnsi="仿宋" w:eastAsia="仿宋" w:cs="宋体"/>
          <w:kern w:val="0"/>
          <w:sz w:val="32"/>
        </w:rPr>
        <w:t>工作程序</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①学院宣传动员，通过多种方式进行专业咨询，包括专业介绍，师资力量，课程设置，教学条件，就业方向等。</w:t>
      </w:r>
    </w:p>
    <w:p>
      <w:pPr>
        <w:spacing w:line="360" w:lineRule="auto"/>
        <w:ind w:firstLine="480"/>
        <w:jc w:val="both"/>
        <w:rPr>
          <w:rFonts w:ascii="仿宋" w:hAnsi="仿宋" w:eastAsia="仿宋" w:cs="宋体"/>
          <w:sz w:val="32"/>
          <w:szCs w:val="32"/>
        </w:rPr>
      </w:pPr>
      <w:bookmarkStart w:id="6" w:name="_Hlk152354213"/>
      <w:r>
        <w:rPr>
          <w:rFonts w:hint="eastAsia" w:ascii="仿宋" w:hAnsi="仿宋" w:eastAsia="仿宋" w:cs="宋体"/>
          <w:sz w:val="32"/>
          <w:szCs w:val="32"/>
        </w:rPr>
        <w:t>②</w:t>
      </w:r>
      <w:bookmarkEnd w:id="6"/>
      <w:r>
        <w:rPr>
          <w:rFonts w:hint="eastAsia" w:ascii="仿宋" w:hAnsi="仿宋" w:eastAsia="仿宋" w:cs="宋体"/>
          <w:sz w:val="32"/>
          <w:szCs w:val="32"/>
        </w:rPr>
        <w:t>学生在学校规定时间内通过教务系统提交志愿申请，未在规定时间内填报志愿的学生，视为放弃资格。</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③学院审核学生申报材料，根据专业分流规则形成专业分流方案。</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④转专业及专业分流工作领导小组审核专业分流方案并公示不少于3 天，公示无异后，将专业分流方案报送学校教务处。</w:t>
      </w:r>
    </w:p>
    <w:p>
      <w:pPr>
        <w:pStyle w:val="3"/>
        <w:numPr>
          <w:ilvl w:val="1"/>
          <w:numId w:val="2"/>
        </w:numPr>
        <w:spacing w:line="360" w:lineRule="auto"/>
        <w:rPr>
          <w:rFonts w:ascii="仿宋" w:hAnsi="仿宋" w:eastAsia="仿宋" w:cs="宋体"/>
          <w:kern w:val="0"/>
          <w:sz w:val="32"/>
        </w:rPr>
      </w:pPr>
      <w:r>
        <w:rPr>
          <w:rFonts w:hint="eastAsia" w:ascii="仿宋" w:hAnsi="仿宋" w:eastAsia="仿宋" w:cs="宋体"/>
          <w:kern w:val="0"/>
          <w:sz w:val="32"/>
        </w:rPr>
        <w:t>其他说明</w:t>
      </w:r>
    </w:p>
    <w:p>
      <w:pPr>
        <w:kinsoku/>
        <w:spacing w:line="360" w:lineRule="auto"/>
        <w:ind w:firstLine="482"/>
        <w:jc w:val="both"/>
        <w:rPr>
          <w:rFonts w:ascii="仿宋" w:hAnsi="仿宋" w:eastAsia="仿宋" w:cs="宋体"/>
          <w:sz w:val="32"/>
          <w:szCs w:val="32"/>
        </w:rPr>
      </w:pPr>
      <w:r>
        <w:rPr>
          <w:rFonts w:hint="eastAsia" w:ascii="仿宋" w:hAnsi="仿宋" w:eastAsia="仿宋" w:cs="宋体"/>
          <w:sz w:val="32"/>
          <w:szCs w:val="32"/>
        </w:rPr>
        <w:t>①学生转入我院后，需按照转入专业（类）培养方案进行培养，相关学分记载和学籍管理按照《办法》第五章执行。</w:t>
      </w:r>
    </w:p>
    <w:p>
      <w:pPr>
        <w:kinsoku/>
        <w:spacing w:line="360" w:lineRule="auto"/>
        <w:ind w:firstLine="482"/>
        <w:jc w:val="both"/>
        <w:rPr>
          <w:rFonts w:ascii="仿宋" w:hAnsi="仿宋" w:eastAsia="仿宋" w:cs="宋体"/>
          <w:sz w:val="32"/>
          <w:szCs w:val="32"/>
        </w:rPr>
      </w:pPr>
      <w:r>
        <w:rPr>
          <w:rFonts w:hint="eastAsia" w:ascii="仿宋" w:hAnsi="仿宋" w:eastAsia="仿宋" w:cs="宋体"/>
          <w:sz w:val="32"/>
          <w:szCs w:val="32"/>
        </w:rPr>
        <w:t>②本细则若有与学校文件冲突的内容，以学校文件规定的为准。</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③本细则自颁布之日起执行，其他未尽事宜参照《长安大学本科生转专业及专业分流管理办法》（长大教〔2023〕271号）文件执行。</w:t>
      </w:r>
    </w:p>
    <w:p>
      <w:pPr>
        <w:pStyle w:val="3"/>
        <w:numPr>
          <w:ilvl w:val="0"/>
          <w:numId w:val="2"/>
        </w:numPr>
        <w:spacing w:line="360" w:lineRule="auto"/>
        <w:rPr>
          <w:rFonts w:ascii="仿宋" w:hAnsi="仿宋" w:eastAsia="仿宋" w:cs="宋体"/>
          <w:sz w:val="32"/>
        </w:rPr>
      </w:pPr>
      <w:r>
        <w:rPr>
          <w:rFonts w:hint="eastAsia" w:ascii="仿宋" w:hAnsi="仿宋" w:eastAsia="仿宋" w:cs="宋体"/>
          <w:sz w:val="32"/>
        </w:rPr>
        <w:t>咨询及投诉方式</w:t>
      </w:r>
    </w:p>
    <w:p>
      <w:pPr>
        <w:spacing w:line="360" w:lineRule="auto"/>
        <w:ind w:firstLine="480"/>
        <w:rPr>
          <w:rFonts w:ascii="仿宋" w:hAnsi="仿宋" w:eastAsia="仿宋" w:cs="宋体"/>
          <w:sz w:val="32"/>
          <w:szCs w:val="32"/>
        </w:rPr>
      </w:pPr>
      <w:r>
        <w:rPr>
          <w:rFonts w:hint="eastAsia" w:ascii="仿宋" w:hAnsi="仿宋" w:eastAsia="仿宋" w:cs="宋体"/>
          <w:sz w:val="32"/>
          <w:szCs w:val="32"/>
        </w:rPr>
        <w:t>咨询电话：029-8233</w:t>
      </w:r>
      <w:r>
        <w:rPr>
          <w:rFonts w:hint="eastAsia" w:ascii="仿宋" w:hAnsi="仿宋" w:eastAsia="仿宋" w:cs="宋体"/>
          <w:sz w:val="32"/>
          <w:szCs w:val="32"/>
          <w:lang w:val="en-US" w:eastAsia="zh-CN"/>
        </w:rPr>
        <w:t>5623</w:t>
      </w:r>
      <w:bookmarkStart w:id="7" w:name="_GoBack"/>
      <w:bookmarkEnd w:id="7"/>
      <w:r>
        <w:rPr>
          <w:rFonts w:hint="eastAsia" w:ascii="仿宋" w:hAnsi="仿宋" w:eastAsia="仿宋" w:cs="宋体"/>
          <w:sz w:val="32"/>
          <w:szCs w:val="32"/>
        </w:rPr>
        <w:t xml:space="preserve">     </w:t>
      </w:r>
    </w:p>
    <w:p>
      <w:pPr>
        <w:spacing w:line="360" w:lineRule="auto"/>
        <w:ind w:firstLine="480"/>
        <w:rPr>
          <w:rFonts w:ascii="仿宋" w:hAnsi="仿宋" w:eastAsia="仿宋" w:cs="宋体"/>
          <w:sz w:val="32"/>
          <w:szCs w:val="32"/>
        </w:rPr>
      </w:pPr>
      <w:r>
        <w:rPr>
          <w:rFonts w:hint="eastAsia" w:ascii="仿宋" w:hAnsi="仿宋" w:eastAsia="仿宋" w:cs="宋体"/>
          <w:sz w:val="32"/>
          <w:szCs w:val="32"/>
        </w:rPr>
        <w:t>投诉电话：029-82334362</w:t>
      </w:r>
    </w:p>
    <w:p>
      <w:pPr>
        <w:spacing w:line="360" w:lineRule="auto"/>
        <w:ind w:firstLine="480"/>
        <w:rPr>
          <w:rFonts w:ascii="仿宋" w:hAnsi="仿宋" w:eastAsia="仿宋" w:cs="宋体"/>
          <w:sz w:val="32"/>
          <w:szCs w:val="32"/>
        </w:rPr>
      </w:pPr>
      <w:r>
        <w:rPr>
          <w:rFonts w:hint="eastAsia" w:ascii="仿宋" w:hAnsi="仿宋" w:eastAsia="仿宋" w:cs="宋体"/>
          <w:sz w:val="32"/>
          <w:szCs w:val="32"/>
        </w:rPr>
        <w:t xml:space="preserve">投诉邮箱：yangming@chd.edu.cn </w:t>
      </w:r>
    </w:p>
    <w:p>
      <w:pPr>
        <w:pStyle w:val="3"/>
        <w:numPr>
          <w:ilvl w:val="0"/>
          <w:numId w:val="2"/>
        </w:numPr>
        <w:spacing w:line="360" w:lineRule="auto"/>
        <w:rPr>
          <w:rFonts w:ascii="仿宋" w:hAnsi="仿宋" w:eastAsia="仿宋" w:cs="宋体"/>
          <w:sz w:val="32"/>
        </w:rPr>
      </w:pPr>
      <w:r>
        <w:rPr>
          <w:rFonts w:hint="eastAsia" w:ascii="仿宋" w:hAnsi="仿宋" w:eastAsia="仿宋" w:cs="宋体"/>
          <w:sz w:val="32"/>
        </w:rPr>
        <w:t>细则解释权归属</w:t>
      </w:r>
    </w:p>
    <w:p>
      <w:pPr>
        <w:spacing w:line="360" w:lineRule="auto"/>
        <w:ind w:firstLine="480"/>
        <w:jc w:val="both"/>
        <w:rPr>
          <w:rFonts w:ascii="仿宋" w:hAnsi="仿宋" w:eastAsia="仿宋" w:cs="宋体"/>
          <w:sz w:val="32"/>
          <w:szCs w:val="32"/>
        </w:rPr>
      </w:pPr>
      <w:r>
        <w:rPr>
          <w:rFonts w:hint="eastAsia" w:ascii="仿宋" w:hAnsi="仿宋" w:eastAsia="仿宋" w:cs="宋体"/>
          <w:sz w:val="32"/>
          <w:szCs w:val="32"/>
        </w:rPr>
        <w:t>本细则由信息工程学院转专业工作领导小组负责解释；若遇不可抗力事件，以最新通知为准。</w:t>
      </w:r>
    </w:p>
    <w:p>
      <w:pPr>
        <w:rPr>
          <w:rFonts w:hint="eastAsia" w:ascii="仿宋" w:hAnsi="仿宋" w:eastAsia="仿宋" w:cs="宋体"/>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tbl>
      <w:tblPr>
        <w:tblStyle w:val="4"/>
        <w:tblpPr w:leftFromText="180" w:rightFromText="180" w:vertAnchor="text" w:horzAnchor="margin" w:tblpY="8"/>
        <w:tblW w:w="885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558"/>
        <w:gridCol w:w="429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50" w:type="dxa"/>
            <w:gridSpan w:val="2"/>
            <w:tcBorders>
              <w:top w:val="nil"/>
              <w:left w:val="nil"/>
              <w:bottom w:val="single" w:color="auto" w:sz="8" w:space="0"/>
              <w:right w:val="nil"/>
            </w:tcBorders>
          </w:tcPr>
          <w:p>
            <w:pPr>
              <w:spacing w:line="560" w:lineRule="exact"/>
              <w:rPr>
                <w:rFonts w:ascii="仿宋" w:hAnsi="仿宋" w:eastAsia="仿宋" w:cs="Times New Roman"/>
                <w:b/>
                <w:snapToGrid/>
                <w:color w:val="auto"/>
                <w:sz w:val="32"/>
                <w:szCs w:val="32"/>
              </w:rPr>
            </w:pPr>
            <w:r>
              <w:rPr>
                <w:rFonts w:hint="eastAsia" w:ascii="仿宋" w:hAnsi="仿宋" w:eastAsia="仿宋"/>
                <w:sz w:val="32"/>
                <w:szCs w:val="32"/>
              </w:rPr>
              <w:t>主题词：转专业及专业分流</w:t>
            </w:r>
            <w:r>
              <w:rPr>
                <w:rFonts w:ascii="仿宋" w:hAnsi="仿宋" w:eastAsia="仿宋"/>
                <w:bCs/>
                <w:sz w:val="32"/>
                <w:szCs w:val="32"/>
              </w:rPr>
              <w:t xml:space="preserve"> </w:t>
            </w:r>
            <w:r>
              <w:rPr>
                <w:rFonts w:hint="eastAsia" w:ascii="仿宋" w:hAnsi="仿宋" w:eastAsia="仿宋"/>
                <w:bCs/>
                <w:sz w:val="32"/>
                <w:szCs w:val="32"/>
              </w:rPr>
              <w:t>本科生 通知</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2" w:hRule="atLeast"/>
        </w:trPr>
        <w:tc>
          <w:tcPr>
            <w:tcW w:w="8850" w:type="dxa"/>
            <w:gridSpan w:val="2"/>
            <w:tcBorders>
              <w:top w:val="single" w:color="auto" w:sz="8" w:space="0"/>
              <w:left w:val="nil"/>
              <w:bottom w:val="single" w:color="auto" w:sz="6" w:space="0"/>
              <w:right w:val="nil"/>
            </w:tcBorders>
            <w:tcMar>
              <w:top w:w="0" w:type="dxa"/>
              <w:left w:w="28" w:type="dxa"/>
              <w:bottom w:w="0" w:type="dxa"/>
              <w:right w:w="28" w:type="dxa"/>
            </w:tcMar>
            <w:vAlign w:val="center"/>
          </w:tcPr>
          <w:p>
            <w:pPr>
              <w:spacing w:line="560" w:lineRule="exact"/>
              <w:rPr>
                <w:rFonts w:ascii="仿宋" w:hAnsi="仿宋" w:eastAsia="仿宋"/>
                <w:sz w:val="32"/>
                <w:szCs w:val="32"/>
              </w:rPr>
            </w:pPr>
            <w:r>
              <w:rPr>
                <w:rFonts w:ascii="仿宋" w:hAnsi="仿宋" w:eastAsia="仿宋"/>
                <w:sz w:val="32"/>
                <w:szCs w:val="32"/>
              </w:rPr>
              <w:t>抄送：各系部（室）、院党政领导。</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2" w:hRule="atLeast"/>
        </w:trPr>
        <w:tc>
          <w:tcPr>
            <w:tcW w:w="4558" w:type="dxa"/>
            <w:tcBorders>
              <w:top w:val="single" w:color="auto" w:sz="6" w:space="0"/>
              <w:left w:val="nil"/>
              <w:bottom w:val="single" w:color="auto" w:sz="8" w:space="0"/>
              <w:right w:val="nil"/>
            </w:tcBorders>
            <w:tcMar>
              <w:top w:w="0" w:type="dxa"/>
              <w:left w:w="28" w:type="dxa"/>
              <w:bottom w:w="0" w:type="dxa"/>
              <w:right w:w="28" w:type="dxa"/>
            </w:tcMar>
          </w:tcPr>
          <w:p>
            <w:pPr>
              <w:spacing w:line="560" w:lineRule="exact"/>
              <w:ind w:right="-34"/>
              <w:rPr>
                <w:rFonts w:hint="eastAsia" w:ascii="仿宋" w:hAnsi="仿宋" w:eastAsia="仿宋"/>
                <w:sz w:val="32"/>
                <w:szCs w:val="32"/>
              </w:rPr>
            </w:pPr>
            <w:r>
              <w:rPr>
                <w:rFonts w:ascii="仿宋" w:hAnsi="仿宋" w:eastAsia="仿宋"/>
                <w:sz w:val="32"/>
                <w:szCs w:val="32"/>
              </w:rPr>
              <w:t>长安大学信息工程学院</w:t>
            </w:r>
          </w:p>
        </w:tc>
        <w:tc>
          <w:tcPr>
            <w:tcW w:w="4292" w:type="dxa"/>
            <w:tcBorders>
              <w:top w:val="single" w:color="auto" w:sz="6" w:space="0"/>
              <w:left w:val="nil"/>
              <w:bottom w:val="single" w:color="auto" w:sz="8" w:space="0"/>
              <w:right w:val="nil"/>
            </w:tcBorders>
          </w:tcPr>
          <w:p>
            <w:pPr>
              <w:wordWrap w:val="0"/>
              <w:spacing w:line="560" w:lineRule="exact"/>
              <w:jc w:val="right"/>
              <w:rPr>
                <w:rFonts w:ascii="仿宋" w:hAnsi="仿宋" w:eastAsia="仿宋"/>
                <w:sz w:val="32"/>
                <w:szCs w:val="32"/>
              </w:rPr>
            </w:pPr>
            <w:r>
              <w:rPr>
                <w:rFonts w:ascii="仿宋" w:hAnsi="仿宋" w:eastAsia="仿宋"/>
                <w:sz w:val="32"/>
                <w:szCs w:val="32"/>
              </w:rPr>
              <w:t xml:space="preserve"> 2024年1月15日印发 </w:t>
            </w:r>
          </w:p>
        </w:tc>
      </w:tr>
    </w:tbl>
    <w:p>
      <w:pPr>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11B66"/>
    <w:multiLevelType w:val="multilevel"/>
    <w:tmpl w:val="19311B66"/>
    <w:lvl w:ilvl="0" w:tentative="0">
      <w:start w:val="1"/>
      <w:numFmt w:val="chineseCountingThousand"/>
      <w:lvlText w:val="%1、"/>
      <w:lvlJc w:val="left"/>
      <w:pPr>
        <w:ind w:left="420" w:hanging="420"/>
      </w:pPr>
      <w:rPr>
        <w:b/>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BF46D7"/>
    <w:multiLevelType w:val="multilevel"/>
    <w:tmpl w:val="55BF46D7"/>
    <w:lvl w:ilvl="0" w:tentative="0">
      <w:start w:val="1"/>
      <w:numFmt w:val="chineseCountingThousand"/>
      <w:pStyle w:val="3"/>
      <w:lvlText w:val="%1、"/>
      <w:lvlJc w:val="left"/>
      <w:pPr>
        <w:ind w:left="420" w:hanging="420"/>
      </w:pPr>
      <w:rPr>
        <w:rFonts w:cs="Times New Roman"/>
        <w:b/>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OTE4NTY0MDIwZmMyNWExNTBmMTlmZDYzZWM3OGUifQ=="/>
  </w:docVars>
  <w:rsids>
    <w:rsidRoot w:val="4F862C16"/>
    <w:rsid w:val="00003C1D"/>
    <w:rsid w:val="00013D3C"/>
    <w:rsid w:val="00080755"/>
    <w:rsid w:val="00172C6E"/>
    <w:rsid w:val="0019329A"/>
    <w:rsid w:val="00207725"/>
    <w:rsid w:val="00304EA8"/>
    <w:rsid w:val="00364AEF"/>
    <w:rsid w:val="00382336"/>
    <w:rsid w:val="003F4054"/>
    <w:rsid w:val="0044205F"/>
    <w:rsid w:val="00522B9A"/>
    <w:rsid w:val="00562D66"/>
    <w:rsid w:val="0066462A"/>
    <w:rsid w:val="006E02F4"/>
    <w:rsid w:val="00A33498"/>
    <w:rsid w:val="00B419CE"/>
    <w:rsid w:val="00B9007E"/>
    <w:rsid w:val="00BB5CFF"/>
    <w:rsid w:val="00C2139D"/>
    <w:rsid w:val="00D11EFF"/>
    <w:rsid w:val="00D66377"/>
    <w:rsid w:val="00DF785D"/>
    <w:rsid w:val="00ED4AC1"/>
    <w:rsid w:val="00ED5003"/>
    <w:rsid w:val="00EE010F"/>
    <w:rsid w:val="00FA4F71"/>
    <w:rsid w:val="00FF4EB1"/>
    <w:rsid w:val="286C7291"/>
    <w:rsid w:val="45D94286"/>
    <w:rsid w:val="4F862C16"/>
    <w:rsid w:val="7B54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32"/>
      <w:szCs w:val="44"/>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Subtitle"/>
    <w:basedOn w:val="1"/>
    <w:next w:val="1"/>
    <w:autoRedefine/>
    <w:qFormat/>
    <w:uiPriority w:val="11"/>
    <w:pPr>
      <w:numPr>
        <w:ilvl w:val="0"/>
        <w:numId w:val="1"/>
      </w:numPr>
      <w:spacing w:line="312" w:lineRule="auto"/>
      <w:ind w:firstLine="0"/>
      <w:outlineLvl w:val="1"/>
    </w:pPr>
    <w:rPr>
      <w:rFonts w:ascii="Cambria" w:hAnsi="Cambria"/>
      <w:b/>
      <w:bCs/>
      <w:kern w:val="28"/>
      <w:sz w:val="30"/>
      <w:szCs w:val="32"/>
    </w:rPr>
  </w:style>
  <w:style w:type="paragraph" w:styleId="6">
    <w:name w:val="List Paragraph"/>
    <w:basedOn w:val="1"/>
    <w:autoRedefine/>
    <w:qFormat/>
    <w:uiPriority w:val="34"/>
    <w:pPr>
      <w:widowControl w:val="0"/>
      <w:spacing w:line="360" w:lineRule="auto"/>
      <w:ind w:firstLine="640" w:firstLineChars="200"/>
      <w:jc w:val="both"/>
    </w:p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337</Words>
  <Characters>1923</Characters>
  <Lines>16</Lines>
  <Paragraphs>4</Paragraphs>
  <TotalTime>62</TotalTime>
  <ScaleCrop>false</ScaleCrop>
  <LinksUpToDate>false</LinksUpToDate>
  <CharactersWithSpaces>2256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2024-01-14T05:51:00Z</dcterms:created>
  <dc:creator>韩G</dc:creator>
  <cp:lastModifiedBy>心有所属</cp:lastModifiedBy>
  <cp:lastPrinted>2024-01-16T02:34:39Z</cp:lastPrinted>
  <dcterms:modified xsi:type="dcterms:W3CDTF">2024-01-16T02:44:21Z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DC5CC77F48834557984323A0A94D0FE4_11</vt:lpwstr>
  </property>
</Properties>
</file>